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0E865064"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865E22">
        <w:rPr>
          <w:rFonts w:eastAsia="Times New Roman" w:cs="Arial"/>
          <w:b/>
          <w:sz w:val="28"/>
          <w:szCs w:val="28"/>
        </w:rPr>
        <w:t>Hoton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CC5B704"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865E22">
              <w:rPr>
                <w:rFonts w:eastAsia="Times New Roman" w:cs="Arial"/>
                <w:b/>
                <w:sz w:val="18"/>
                <w:szCs w:val="18"/>
              </w:rPr>
              <w:t>27</w:t>
            </w:r>
            <w:r w:rsidR="00865E22" w:rsidRPr="00865E22">
              <w:rPr>
                <w:rFonts w:eastAsia="Times New Roman" w:cs="Arial"/>
                <w:b/>
                <w:sz w:val="18"/>
                <w:szCs w:val="18"/>
                <w:vertAlign w:val="superscript"/>
              </w:rPr>
              <w:t>th</w:t>
            </w:r>
            <w:r w:rsidR="00865E22">
              <w:rPr>
                <w:rFonts w:eastAsia="Times New Roman" w:cs="Arial"/>
                <w:b/>
                <w:sz w:val="18"/>
                <w:szCs w:val="18"/>
              </w:rPr>
              <w:t xml:space="preserve"> June 2024</w:t>
            </w:r>
            <w:r w:rsidR="00EB085F"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69A916D" w14:textId="70566AF7" w:rsidR="001B24EC" w:rsidRDefault="001B24EC" w:rsidP="00865E2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65E22">
              <w:rPr>
                <w:rFonts w:eastAsia="Times New Roman" w:cs="Arial"/>
                <w:sz w:val="18"/>
                <w:szCs w:val="18"/>
              </w:rPr>
              <w:t xml:space="preserve">Victoria Webster, Clerk and RFO, </w:t>
            </w:r>
            <w:hyperlink r:id="rId5" w:history="1">
              <w:r w:rsidR="00865E22" w:rsidRPr="00D81C0F">
                <w:rPr>
                  <w:rStyle w:val="Hyperlink"/>
                  <w:rFonts w:eastAsia="Times New Roman" w:cs="Arial"/>
                  <w:sz w:val="18"/>
                  <w:szCs w:val="18"/>
                </w:rPr>
                <w:t>clerk@hotonparishcouncil.gov.uk</w:t>
              </w:r>
            </w:hyperlink>
          </w:p>
          <w:p w14:paraId="068177AA" w14:textId="77777777" w:rsidR="00865E22" w:rsidRPr="00D06620" w:rsidRDefault="00865E22" w:rsidP="00865E2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790E775"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865E22" w:rsidRPr="00865E22">
              <w:rPr>
                <w:rFonts w:eastAsia="Times New Roman" w:cs="Arial"/>
                <w:b/>
                <w:bCs/>
                <w:sz w:val="18"/>
                <w:szCs w:val="18"/>
              </w:rPr>
              <w:t>Thursday 27</w:t>
            </w:r>
            <w:r w:rsidR="00865E22" w:rsidRPr="00865E22">
              <w:rPr>
                <w:rFonts w:eastAsia="Times New Roman" w:cs="Arial"/>
                <w:b/>
                <w:bCs/>
                <w:sz w:val="18"/>
                <w:szCs w:val="18"/>
                <w:vertAlign w:val="superscript"/>
              </w:rPr>
              <w:t>th</w:t>
            </w:r>
            <w:r w:rsidR="00865E22" w:rsidRPr="00865E22">
              <w:rPr>
                <w:rFonts w:eastAsia="Times New Roman" w:cs="Arial"/>
                <w:b/>
                <w:bCs/>
                <w:sz w:val="18"/>
                <w:szCs w:val="18"/>
              </w:rPr>
              <w:t xml:space="preserve"> Jun 2024</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71A7A776"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00865E22" w:rsidRPr="00865E22">
              <w:rPr>
                <w:rFonts w:eastAsia="Times New Roman" w:cs="Arial"/>
                <w:b/>
                <w:bCs/>
                <w:sz w:val="18"/>
                <w:szCs w:val="18"/>
              </w:rPr>
              <w:t>7</w:t>
            </w:r>
            <w:r w:rsidR="00865E22" w:rsidRPr="00865E22">
              <w:rPr>
                <w:rFonts w:eastAsia="Times New Roman" w:cs="Arial"/>
                <w:b/>
                <w:bCs/>
                <w:sz w:val="18"/>
                <w:szCs w:val="18"/>
                <w:vertAlign w:val="superscript"/>
              </w:rPr>
              <w:t>th</w:t>
            </w:r>
            <w:r w:rsidR="00865E22" w:rsidRPr="00865E22">
              <w:rPr>
                <w:rFonts w:eastAsia="Times New Roman" w:cs="Arial"/>
                <w:b/>
                <w:bCs/>
                <w:sz w:val="18"/>
                <w:szCs w:val="18"/>
              </w:rPr>
              <w:t xml:space="preserve"> August 2024</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270BE35D"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865E22">
              <w:rPr>
                <w:rFonts w:eastAsia="Times New Roman" w:cs="Arial"/>
                <w:b/>
                <w:sz w:val="18"/>
                <w:szCs w:val="18"/>
              </w:rPr>
              <w:t>Victoria Webster, Clerk and 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0AD4B95B" w14:textId="77777777" w:rsidR="00865E22" w:rsidRDefault="00865E22" w:rsidP="00CB0906">
      <w:pPr>
        <w:jc w:val="center"/>
        <w:rPr>
          <w:rFonts w:eastAsia="Times New Roman" w:cs="Arial"/>
          <w:b/>
          <w:sz w:val="20"/>
          <w:szCs w:val="20"/>
        </w:rPr>
      </w:pPr>
    </w:p>
    <w:p w14:paraId="1DF26957" w14:textId="30A6D20B"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B24EC"/>
    <w:rsid w:val="001D2131"/>
    <w:rsid w:val="002B1374"/>
    <w:rsid w:val="003F0A6B"/>
    <w:rsid w:val="00425343"/>
    <w:rsid w:val="00514986"/>
    <w:rsid w:val="00534C07"/>
    <w:rsid w:val="00545BFF"/>
    <w:rsid w:val="00582ECD"/>
    <w:rsid w:val="005A4E46"/>
    <w:rsid w:val="005C56BA"/>
    <w:rsid w:val="00651D33"/>
    <w:rsid w:val="007A7A2B"/>
    <w:rsid w:val="00865E22"/>
    <w:rsid w:val="008A2B0D"/>
    <w:rsid w:val="008E6D48"/>
    <w:rsid w:val="00A52AA3"/>
    <w:rsid w:val="00A5770B"/>
    <w:rsid w:val="00AE15AB"/>
    <w:rsid w:val="00C028D0"/>
    <w:rsid w:val="00CB0906"/>
    <w:rsid w:val="00E15BB0"/>
    <w:rsid w:val="00E77B72"/>
    <w:rsid w:val="00E819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E22"/>
    <w:rPr>
      <w:color w:val="0000FF" w:themeColor="hyperlink"/>
      <w:u w:val="single"/>
    </w:rPr>
  </w:style>
  <w:style w:type="character" w:styleId="UnresolvedMention">
    <w:name w:val="Unresolved Mention"/>
    <w:basedOn w:val="DefaultParagraphFont"/>
    <w:uiPriority w:val="99"/>
    <w:semiHidden/>
    <w:unhideWhenUsed/>
    <w:rsid w:val="00865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lerk@hotonparishcounci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Hoton Parish Council</cp:lastModifiedBy>
  <cp:revision>7</cp:revision>
  <dcterms:created xsi:type="dcterms:W3CDTF">2022-05-06T14:39:00Z</dcterms:created>
  <dcterms:modified xsi:type="dcterms:W3CDTF">2024-06-19T09:36:00Z</dcterms:modified>
</cp:coreProperties>
</file>